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C33CE6A">
      <w:pPr>
        <w:jc w:val="center"/>
        <w:rPr>
          <w:rFonts w:hint="eastAsia" w:ascii="宋体" w:hAnsi="宋体" w:eastAsia="宋体" w:cs="宋体"/>
          <w:b/>
          <w:bCs/>
          <w:color w:val="000000"/>
          <w:kern w:val="0"/>
          <w:sz w:val="44"/>
          <w:szCs w:val="44"/>
          <w:lang w:bidi="ar"/>
        </w:rPr>
      </w:pPr>
      <w:r>
        <w:rPr>
          <w:rFonts w:hint="eastAsia" w:ascii="宋体" w:hAnsi="宋体" w:eastAsia="宋体" w:cs="宋体"/>
          <w:b/>
          <w:bCs/>
          <w:color w:val="000000"/>
          <w:kern w:val="0"/>
          <w:sz w:val="44"/>
          <w:szCs w:val="44"/>
          <w:lang w:bidi="ar"/>
        </w:rPr>
        <w:t>棠外附小辅导学生计划表（</w:t>
      </w:r>
      <w:r>
        <w:rPr>
          <w:rFonts w:hint="eastAsia" w:ascii="宋体" w:hAnsi="宋体" w:eastAsia="宋体" w:cs="宋体"/>
          <w:b/>
          <w:bCs/>
          <w:color w:val="000000"/>
          <w:kern w:val="0"/>
          <w:sz w:val="44"/>
          <w:szCs w:val="44"/>
          <w:u w:val="single"/>
          <w:lang w:bidi="ar"/>
        </w:rPr>
        <w:t xml:space="preserve"> 培优 </w:t>
      </w:r>
      <w:r>
        <w:rPr>
          <w:rFonts w:hint="eastAsia" w:ascii="宋体" w:hAnsi="宋体" w:eastAsia="宋体" w:cs="宋体"/>
          <w:b/>
          <w:bCs/>
          <w:color w:val="000000"/>
          <w:kern w:val="0"/>
          <w:sz w:val="44"/>
          <w:szCs w:val="44"/>
          <w:lang w:bidi="ar"/>
        </w:rPr>
        <w:t>）</w:t>
      </w:r>
    </w:p>
    <w:p w14:paraId="0A8267F1">
      <w:pPr>
        <w:widowControl/>
        <w:textAlignment w:val="center"/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</w:pP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  <w:t>202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val="en-US" w:eastAsia="zh-CN" w:bidi="ar"/>
        </w:rPr>
        <w:t>6-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  <w:t>202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val="en-US" w:eastAsia="zh-CN" w:bidi="ar"/>
        </w:rPr>
        <w:t>7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  <w:t>年度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val="en-US" w:eastAsia="zh-CN" w:bidi="ar"/>
        </w:rPr>
        <w:t>上</w:t>
      </w:r>
      <w:bookmarkStart w:id="0" w:name="_GoBack"/>
      <w:bookmarkEnd w:id="0"/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  <w:t>期     班级：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val="en-US" w:eastAsia="zh-CN" w:bidi="ar"/>
        </w:rPr>
        <w:t>3.1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  <w:t xml:space="preserve"> 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val="en-US" w:eastAsia="zh-CN" w:bidi="ar"/>
        </w:rPr>
        <w:t>3.2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  <w:t xml:space="preserve">     教师：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val="en-US" w:eastAsia="zh-CN" w:bidi="ar"/>
        </w:rPr>
        <w:t>谢明洙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  <w:t xml:space="preserve"> </w:t>
      </w:r>
    </w:p>
    <w:tbl>
      <w:tblPr>
        <w:tblStyle w:val="4"/>
        <w:tblW w:w="9050" w:type="dxa"/>
        <w:tblInd w:w="-14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83"/>
        <w:gridCol w:w="7467"/>
      </w:tblGrid>
      <w:tr w14:paraId="65D36D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0" w:hRule="atLeast"/>
        </w:trPr>
        <w:tc>
          <w:tcPr>
            <w:tcW w:w="1583" w:type="dxa"/>
            <w:vAlign w:val="center"/>
          </w:tcPr>
          <w:p w14:paraId="47DA3B3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  <w:lang w:bidi="ar"/>
              </w:rPr>
              <w:t>学生名单</w:t>
            </w:r>
          </w:p>
        </w:tc>
        <w:tc>
          <w:tcPr>
            <w:tcW w:w="7467" w:type="dxa"/>
            <w:vAlign w:val="center"/>
          </w:tcPr>
          <w:p w14:paraId="0DB14C93">
            <w:pPr>
              <w:spacing w:line="360" w:lineRule="auto"/>
              <w:jc w:val="left"/>
              <w:rPr>
                <w:rFonts w:hint="default" w:ascii="宋体" w:hAnsi="宋体" w:eastAsia="宋体" w:cs="宋体"/>
                <w:color w:val="3C3C3C"/>
                <w:sz w:val="24"/>
                <w:lang w:val="en-US" w:eastAsia="zh-CN"/>
              </w:rPr>
            </w:pPr>
            <w:r>
              <w:rPr>
                <w:rFonts w:hint="default" w:ascii="宋体" w:hAnsi="宋体" w:eastAsia="宋体" w:cs="宋体"/>
                <w:color w:val="3C3C3C"/>
                <w:sz w:val="24"/>
                <w:lang w:val="en-US" w:eastAsia="zh-CN"/>
              </w:rPr>
              <w:t>魏雨乔、何宇昊、方馨影、张玥滢、宋至程、王妍希、刘梓菡、杨文铠、黄雨桐、王安之、梁诗诗、李昱衡、徐晟睿、姜洛兮、朱子馨、黄梓陌、孙垚丹、莘宇航</w:t>
            </w:r>
          </w:p>
        </w:tc>
      </w:tr>
      <w:tr w14:paraId="7AA753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80" w:hRule="atLeast"/>
        </w:trPr>
        <w:tc>
          <w:tcPr>
            <w:tcW w:w="1583" w:type="dxa"/>
            <w:vAlign w:val="center"/>
          </w:tcPr>
          <w:p w14:paraId="7B1CE05A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  <w:lang w:bidi="ar"/>
              </w:rPr>
              <w:t>学生情况分析</w:t>
            </w:r>
          </w:p>
        </w:tc>
        <w:tc>
          <w:tcPr>
            <w:tcW w:w="7467" w:type="dxa"/>
          </w:tcPr>
          <w:p w14:paraId="0AFF4028">
            <w:pPr>
              <w:spacing w:line="360" w:lineRule="auto"/>
              <w:rPr>
                <w:rFonts w:hint="eastAsia" w:ascii="宋体" w:hAnsi="宋体" w:eastAsia="宋体" w:cs="宋体"/>
                <w:color w:val="3C3C3C"/>
                <w:sz w:val="24"/>
              </w:rPr>
            </w:pPr>
            <w:r>
              <w:rPr>
                <w:rFonts w:hint="eastAsia" w:ascii="宋体" w:hAnsi="宋体" w:eastAsia="宋体" w:cs="宋体"/>
                <w:color w:val="3C3C3C"/>
                <w:sz w:val="24"/>
              </w:rPr>
              <w:t xml:space="preserve">  </w:t>
            </w:r>
          </w:p>
          <w:p w14:paraId="28639E8E">
            <w:pPr>
              <w:spacing w:line="360" w:lineRule="auto"/>
              <w:rPr>
                <w:rFonts w:hint="eastAsia" w:ascii="宋体" w:hAnsi="宋体" w:eastAsia="宋体" w:cs="宋体"/>
                <w:color w:val="3C3C3C"/>
                <w:sz w:val="24"/>
              </w:rPr>
            </w:pPr>
            <w:r>
              <w:rPr>
                <w:rFonts w:hint="eastAsia" w:ascii="宋体" w:hAnsi="宋体" w:eastAsia="宋体" w:cs="宋体"/>
                <w:color w:val="3C3C3C"/>
                <w:sz w:val="24"/>
              </w:rPr>
              <w:t>1. 听课习惯好：课堂专注度高，能主动跟随教师思路，及时记录重点，对知识的吸收效率突出，极少出现走神、插话等情况。</w:t>
            </w:r>
          </w:p>
          <w:p w14:paraId="40BD177C">
            <w:pPr>
              <w:spacing w:line="360" w:lineRule="auto"/>
              <w:rPr>
                <w:rFonts w:hint="eastAsia" w:ascii="宋体" w:hAnsi="宋体" w:eastAsia="宋体" w:cs="宋体"/>
                <w:color w:val="3C3C3C"/>
                <w:sz w:val="24"/>
              </w:rPr>
            </w:pPr>
            <w:r>
              <w:rPr>
                <w:rFonts w:hint="eastAsia" w:ascii="宋体" w:hAnsi="宋体" w:eastAsia="宋体" w:cs="宋体"/>
                <w:color w:val="3C3C3C"/>
                <w:sz w:val="24"/>
              </w:rPr>
              <w:t>2. 学习兴趣高：对英语学科有较强的内在驱动力，主动拓展课外内容（如英文读物、影视），乐于参与课堂互动与小组探究。</w:t>
            </w:r>
          </w:p>
          <w:p w14:paraId="23EAFA15">
            <w:pPr>
              <w:spacing w:line="360" w:lineRule="auto"/>
              <w:rPr>
                <w:rFonts w:hint="eastAsia" w:ascii="宋体" w:hAnsi="宋体" w:eastAsia="宋体" w:cs="宋体"/>
                <w:color w:val="3C3C3C"/>
                <w:sz w:val="24"/>
              </w:rPr>
            </w:pPr>
            <w:r>
              <w:rPr>
                <w:rFonts w:hint="eastAsia" w:ascii="宋体" w:hAnsi="宋体" w:eastAsia="宋体" w:cs="宋体"/>
                <w:color w:val="3C3C3C"/>
                <w:sz w:val="24"/>
              </w:rPr>
              <w:t>3. 家长关注：家庭教育支持到位，家长能有效监督学习进度，配合学校要求，形成家校协同的良好氛围。</w:t>
            </w:r>
          </w:p>
          <w:p w14:paraId="1DD7CB84">
            <w:pPr>
              <w:spacing w:line="360" w:lineRule="auto"/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3C3C3C"/>
                <w:sz w:val="24"/>
              </w:rPr>
              <w:t xml:space="preserve">   </w:t>
            </w:r>
          </w:p>
        </w:tc>
      </w:tr>
      <w:tr w14:paraId="2A5343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2" w:hRule="atLeast"/>
        </w:trPr>
        <w:tc>
          <w:tcPr>
            <w:tcW w:w="1583" w:type="dxa"/>
            <w:vAlign w:val="center"/>
          </w:tcPr>
          <w:p w14:paraId="0033B4B3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  <w:lang w:bidi="ar"/>
              </w:rPr>
              <w:t>改进提高的具体措施</w:t>
            </w:r>
          </w:p>
        </w:tc>
        <w:tc>
          <w:tcPr>
            <w:tcW w:w="7467" w:type="dxa"/>
          </w:tcPr>
          <w:p w14:paraId="2E73C658">
            <w:pPr>
              <w:tabs>
                <w:tab w:val="left" w:pos="312"/>
              </w:tabs>
              <w:spacing w:line="360" w:lineRule="auto"/>
              <w:rPr>
                <w:rFonts w:hint="eastAsia" w:ascii="宋体" w:hAnsi="宋体" w:eastAsia="宋体" w:cs="宋体"/>
                <w:color w:val="3C3C3C"/>
                <w:sz w:val="24"/>
              </w:rPr>
            </w:pPr>
          </w:p>
          <w:p w14:paraId="212370BC">
            <w:pPr>
              <w:tabs>
                <w:tab w:val="left" w:pos="312"/>
              </w:tabs>
              <w:spacing w:line="360" w:lineRule="auto"/>
              <w:rPr>
                <w:rFonts w:hint="eastAsia" w:ascii="宋体" w:hAnsi="宋体" w:eastAsia="宋体" w:cs="宋体"/>
                <w:color w:val="3C3C3C"/>
                <w:sz w:val="24"/>
              </w:rPr>
            </w:pPr>
            <w:r>
              <w:rPr>
                <w:rFonts w:hint="eastAsia" w:ascii="宋体" w:hAnsi="宋体" w:eastAsia="宋体" w:cs="宋体"/>
                <w:color w:val="3C3C3C"/>
                <w:sz w:val="24"/>
              </w:rPr>
              <w:t>1. 分层任务驱动：在完成基础任务后，提供拓展性挑战（如英文演讲、项目式学习），避免“吃不饱”，保持学习挑战性。</w:t>
            </w:r>
          </w:p>
          <w:p w14:paraId="2D62C81A">
            <w:pPr>
              <w:tabs>
                <w:tab w:val="left" w:pos="312"/>
              </w:tabs>
              <w:spacing w:line="360" w:lineRule="auto"/>
              <w:rPr>
                <w:rFonts w:hint="eastAsia" w:ascii="宋体" w:hAnsi="宋体" w:eastAsia="宋体" w:cs="宋体"/>
                <w:color w:val="3C3C3C"/>
                <w:sz w:val="24"/>
              </w:rPr>
            </w:pPr>
            <w:r>
              <w:rPr>
                <w:rFonts w:hint="eastAsia" w:ascii="宋体" w:hAnsi="宋体" w:eastAsia="宋体" w:cs="宋体"/>
                <w:color w:val="3C3C3C"/>
                <w:sz w:val="24"/>
              </w:rPr>
              <w:t>2. 角色赋能成长：安排担任“英语小助教”，协助老师带读、批改同伴作业或组织小组活动，在输出中深化理解，同时培养责任感。</w:t>
            </w:r>
          </w:p>
          <w:p w14:paraId="550807C3">
            <w:pPr>
              <w:tabs>
                <w:tab w:val="left" w:pos="312"/>
              </w:tabs>
              <w:spacing w:line="360" w:lineRule="auto"/>
              <w:rPr>
                <w:rFonts w:hint="eastAsia" w:ascii="宋体" w:hAnsi="宋体" w:eastAsia="宋体" w:cs="宋体"/>
                <w:color w:val="3C3C3C"/>
                <w:sz w:val="24"/>
              </w:rPr>
            </w:pPr>
            <w:r>
              <w:rPr>
                <w:rFonts w:hint="eastAsia" w:ascii="宋体" w:hAnsi="宋体" w:eastAsia="宋体" w:cs="宋体"/>
                <w:color w:val="3C3C3C"/>
                <w:sz w:val="24"/>
              </w:rPr>
              <w:t>3. 个性化目标设定：与学生共同制定学期目标（如词汇量突破、口语流利度提升），定期复盘，引导从“被动完成”转向“主动规划”。</w:t>
            </w:r>
          </w:p>
          <w:p w14:paraId="7862A78A">
            <w:pPr>
              <w:tabs>
                <w:tab w:val="left" w:pos="312"/>
              </w:tabs>
              <w:spacing w:line="360" w:lineRule="auto"/>
              <w:rPr>
                <w:rFonts w:hint="eastAsia" w:ascii="宋体" w:hAnsi="宋体" w:eastAsia="宋体" w:cs="宋体"/>
                <w:color w:val="3C3C3C"/>
                <w:sz w:val="24"/>
              </w:rPr>
            </w:pPr>
            <w:r>
              <w:rPr>
                <w:rFonts w:hint="eastAsia" w:ascii="宋体" w:hAnsi="宋体" w:eastAsia="宋体" w:cs="宋体"/>
                <w:color w:val="3C3C3C"/>
                <w:sz w:val="24"/>
              </w:rPr>
              <w:t>4. 跨学科融合拓展：鼓励将英语与其他学科结合</w:t>
            </w:r>
          </w:p>
          <w:p w14:paraId="676EC6A5">
            <w:pPr>
              <w:tabs>
                <w:tab w:val="left" w:pos="312"/>
              </w:tabs>
              <w:spacing w:line="360" w:lineRule="auto"/>
              <w:rPr>
                <w:rFonts w:hint="eastAsia" w:ascii="宋体" w:hAnsi="宋体" w:eastAsia="宋体" w:cs="宋体"/>
                <w:color w:val="3C3C3C"/>
                <w:sz w:val="24"/>
              </w:rPr>
            </w:pPr>
          </w:p>
          <w:p w14:paraId="4454A11F">
            <w:pPr>
              <w:tabs>
                <w:tab w:val="left" w:pos="312"/>
              </w:tabs>
              <w:spacing w:line="360" w:lineRule="auto"/>
              <w:rPr>
                <w:rFonts w:hint="eastAsia" w:ascii="宋体" w:hAnsi="宋体" w:eastAsia="宋体" w:cs="宋体"/>
                <w:color w:val="3C3C3C"/>
                <w:sz w:val="24"/>
              </w:rPr>
            </w:pPr>
          </w:p>
          <w:p w14:paraId="489E0E3D">
            <w:pPr>
              <w:tabs>
                <w:tab w:val="left" w:pos="312"/>
              </w:tabs>
              <w:spacing w:line="360" w:lineRule="auto"/>
              <w:rPr>
                <w:rFonts w:hint="eastAsia" w:ascii="宋体" w:hAnsi="宋体" w:eastAsia="宋体" w:cs="宋体"/>
                <w:color w:val="3C3C3C"/>
                <w:sz w:val="24"/>
              </w:rPr>
            </w:pPr>
          </w:p>
          <w:p w14:paraId="5D7A86AB">
            <w:pPr>
              <w:tabs>
                <w:tab w:val="left" w:pos="312"/>
              </w:tabs>
              <w:spacing w:line="360" w:lineRule="auto"/>
              <w:rPr>
                <w:rFonts w:hint="eastAsia" w:ascii="宋体" w:hAnsi="宋体" w:eastAsia="宋体" w:cs="宋体"/>
                <w:color w:val="3C3C3C"/>
                <w:sz w:val="24"/>
              </w:rPr>
            </w:pPr>
          </w:p>
          <w:p w14:paraId="0550B6DE">
            <w:pPr>
              <w:tabs>
                <w:tab w:val="left" w:pos="312"/>
              </w:tabs>
              <w:spacing w:line="360" w:lineRule="auto"/>
              <w:rPr>
                <w:rFonts w:hint="eastAsia" w:ascii="宋体" w:hAnsi="宋体" w:eastAsia="宋体" w:cs="宋体"/>
                <w:color w:val="3C3C3C"/>
                <w:sz w:val="24"/>
              </w:rPr>
            </w:pPr>
          </w:p>
          <w:p w14:paraId="58FE6A8E">
            <w:pPr>
              <w:tabs>
                <w:tab w:val="left" w:pos="312"/>
              </w:tabs>
              <w:spacing w:line="360" w:lineRule="auto"/>
              <w:rPr>
                <w:rFonts w:hint="eastAsia" w:ascii="宋体" w:hAnsi="宋体" w:eastAsia="宋体" w:cs="宋体"/>
                <w:color w:val="3C3C3C"/>
                <w:sz w:val="24"/>
              </w:rPr>
            </w:pPr>
          </w:p>
          <w:p w14:paraId="553DB24C">
            <w:pPr>
              <w:tabs>
                <w:tab w:val="left" w:pos="312"/>
              </w:tabs>
              <w:spacing w:line="360" w:lineRule="auto"/>
              <w:rPr>
                <w:rFonts w:hint="eastAsia" w:ascii="宋体" w:hAnsi="宋体" w:eastAsia="宋体" w:cs="宋体"/>
                <w:color w:val="3C3C3C"/>
                <w:sz w:val="24"/>
              </w:rPr>
            </w:pPr>
          </w:p>
          <w:p w14:paraId="568119AB">
            <w:pPr>
              <w:tabs>
                <w:tab w:val="left" w:pos="312"/>
              </w:tabs>
              <w:spacing w:line="360" w:lineRule="auto"/>
              <w:rPr>
                <w:rFonts w:hint="eastAsia" w:ascii="宋体" w:hAnsi="宋体" w:eastAsia="宋体" w:cs="宋体"/>
                <w:color w:val="3C3C3C"/>
                <w:sz w:val="24"/>
              </w:rPr>
            </w:pPr>
          </w:p>
          <w:p w14:paraId="1260291C">
            <w:pPr>
              <w:tabs>
                <w:tab w:val="left" w:pos="312"/>
              </w:tabs>
              <w:spacing w:line="360" w:lineRule="auto"/>
              <w:rPr>
                <w:rFonts w:hint="eastAsia" w:ascii="宋体" w:hAnsi="宋体" w:eastAsia="宋体" w:cs="宋体"/>
                <w:color w:val="3C3C3C"/>
                <w:sz w:val="24"/>
              </w:rPr>
            </w:pPr>
          </w:p>
          <w:p w14:paraId="73CFE233">
            <w:pPr>
              <w:tabs>
                <w:tab w:val="left" w:pos="312"/>
              </w:tabs>
              <w:spacing w:line="360" w:lineRule="auto"/>
              <w:rPr>
                <w:rFonts w:hint="eastAsia" w:ascii="宋体" w:hAnsi="宋体" w:eastAsia="宋体" w:cs="宋体"/>
                <w:color w:val="3C3C3C"/>
                <w:sz w:val="24"/>
              </w:rPr>
            </w:pPr>
          </w:p>
          <w:p w14:paraId="06F36A9E">
            <w:pPr>
              <w:tabs>
                <w:tab w:val="left" w:pos="312"/>
              </w:tabs>
              <w:spacing w:line="360" w:lineRule="auto"/>
              <w:rPr>
                <w:rFonts w:hint="eastAsia" w:ascii="宋体" w:hAnsi="宋体" w:eastAsia="宋体" w:cs="宋体"/>
                <w:color w:val="3C3C3C"/>
                <w:sz w:val="24"/>
              </w:rPr>
            </w:pPr>
          </w:p>
          <w:p w14:paraId="1D8422DE">
            <w:pPr>
              <w:tabs>
                <w:tab w:val="left" w:pos="312"/>
              </w:tabs>
              <w:spacing w:line="360" w:lineRule="auto"/>
              <w:rPr>
                <w:rFonts w:hint="eastAsia" w:ascii="宋体" w:hAnsi="宋体" w:eastAsia="宋体" w:cs="宋体"/>
                <w:color w:val="3C3C3C"/>
                <w:sz w:val="24"/>
              </w:rPr>
            </w:pPr>
          </w:p>
          <w:p w14:paraId="6A2790D9">
            <w:pPr>
              <w:tabs>
                <w:tab w:val="left" w:pos="312"/>
              </w:tabs>
              <w:spacing w:line="360" w:lineRule="auto"/>
              <w:rPr>
                <w:rFonts w:hint="eastAsia" w:ascii="宋体" w:hAnsi="宋体" w:eastAsia="宋体" w:cs="宋体"/>
                <w:color w:val="3C3C3C"/>
                <w:sz w:val="24"/>
              </w:rPr>
            </w:pPr>
          </w:p>
          <w:p w14:paraId="395C9B76">
            <w:pPr>
              <w:tabs>
                <w:tab w:val="left" w:pos="312"/>
              </w:tabs>
              <w:spacing w:line="360" w:lineRule="auto"/>
              <w:rPr>
                <w:rFonts w:hint="eastAsia" w:ascii="宋体" w:hAnsi="宋体" w:eastAsia="宋体" w:cs="宋体"/>
                <w:color w:val="3C3C3C"/>
                <w:sz w:val="24"/>
              </w:rPr>
            </w:pPr>
          </w:p>
          <w:p w14:paraId="69C449E2">
            <w:pPr>
              <w:tabs>
                <w:tab w:val="left" w:pos="312"/>
              </w:tabs>
              <w:spacing w:line="360" w:lineRule="auto"/>
              <w:rPr>
                <w:rFonts w:hint="eastAsia" w:ascii="宋体" w:hAnsi="宋体" w:eastAsia="宋体" w:cs="宋体"/>
                <w:color w:val="3C3C3C"/>
                <w:sz w:val="24"/>
              </w:rPr>
            </w:pPr>
          </w:p>
        </w:tc>
      </w:tr>
    </w:tbl>
    <w:p w14:paraId="5752AFD7">
      <w:pPr>
        <w:spacing w:line="360" w:lineRule="auto"/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</w:pPr>
    </w:p>
    <w:p w14:paraId="1A30B97A">
      <w:pPr>
        <w:jc w:val="center"/>
        <w:rPr>
          <w:rFonts w:hint="eastAsia" w:ascii="宋体" w:hAnsi="宋体" w:eastAsia="宋体" w:cs="宋体"/>
          <w:b/>
          <w:bCs/>
          <w:color w:val="000000"/>
          <w:kern w:val="0"/>
          <w:sz w:val="44"/>
          <w:szCs w:val="44"/>
          <w:lang w:bidi="ar"/>
        </w:rPr>
      </w:pPr>
      <w:r>
        <w:rPr>
          <w:rFonts w:hint="eastAsia" w:ascii="宋体" w:hAnsi="宋体" w:eastAsia="宋体" w:cs="宋体"/>
          <w:b/>
          <w:bCs/>
          <w:color w:val="000000"/>
          <w:kern w:val="0"/>
          <w:sz w:val="44"/>
          <w:szCs w:val="44"/>
          <w:lang w:bidi="ar"/>
        </w:rPr>
        <w:t>棠外附小辅导学生计划表（</w:t>
      </w:r>
      <w:r>
        <w:rPr>
          <w:rFonts w:hint="eastAsia" w:ascii="宋体" w:hAnsi="宋体" w:eastAsia="宋体" w:cs="宋体"/>
          <w:b/>
          <w:bCs/>
          <w:color w:val="000000"/>
          <w:kern w:val="0"/>
          <w:sz w:val="44"/>
          <w:szCs w:val="44"/>
          <w:u w:val="single"/>
          <w:lang w:bidi="ar"/>
        </w:rPr>
        <w:t xml:space="preserve"> 辅差 </w:t>
      </w:r>
      <w:r>
        <w:rPr>
          <w:rFonts w:hint="eastAsia" w:ascii="宋体" w:hAnsi="宋体" w:eastAsia="宋体" w:cs="宋体"/>
          <w:b/>
          <w:bCs/>
          <w:color w:val="000000"/>
          <w:kern w:val="0"/>
          <w:sz w:val="44"/>
          <w:szCs w:val="44"/>
          <w:lang w:bidi="ar"/>
        </w:rPr>
        <w:t>）</w:t>
      </w:r>
    </w:p>
    <w:p w14:paraId="5A484626">
      <w:pPr>
        <w:widowControl/>
        <w:ind w:firstLine="640" w:firstLineChars="200"/>
        <w:textAlignment w:val="center"/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</w:pP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  <w:t>202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val="en-US" w:eastAsia="zh-CN" w:bidi="ar"/>
        </w:rPr>
        <w:t>6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  <w:t>-202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val="en-US" w:eastAsia="zh-CN" w:bidi="ar"/>
        </w:rPr>
        <w:t>7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  <w:t>学年度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val="en-US" w:eastAsia="zh-CN" w:bidi="ar"/>
        </w:rPr>
        <w:t>上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  <w:t>期  班级：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val="en-US" w:eastAsia="zh-CN" w:bidi="ar"/>
        </w:rPr>
        <w:t>3.1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  <w:t xml:space="preserve"> 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val="en-US" w:eastAsia="zh-CN" w:bidi="ar"/>
        </w:rPr>
        <w:t>3.2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  <w:t xml:space="preserve"> 教师：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val="en-US" w:eastAsia="zh-CN" w:bidi="ar"/>
        </w:rPr>
        <w:t>谢明洙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  <w:t xml:space="preserve">  </w:t>
      </w:r>
    </w:p>
    <w:tbl>
      <w:tblPr>
        <w:tblStyle w:val="4"/>
        <w:tblW w:w="9167" w:type="dxa"/>
        <w:tblInd w:w="-14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83"/>
        <w:gridCol w:w="7584"/>
      </w:tblGrid>
      <w:tr w14:paraId="6175FD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43" w:hRule="atLeast"/>
        </w:trPr>
        <w:tc>
          <w:tcPr>
            <w:tcW w:w="1583" w:type="dxa"/>
            <w:vAlign w:val="center"/>
          </w:tcPr>
          <w:p w14:paraId="21B80EE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  <w:lang w:bidi="ar"/>
              </w:rPr>
              <w:t>学生名单</w:t>
            </w:r>
          </w:p>
        </w:tc>
        <w:tc>
          <w:tcPr>
            <w:tcW w:w="7584" w:type="dxa"/>
            <w:vAlign w:val="center"/>
          </w:tcPr>
          <w:p w14:paraId="73CED95F">
            <w:pPr>
              <w:spacing w:line="360" w:lineRule="auto"/>
              <w:jc w:val="left"/>
              <w:rPr>
                <w:rFonts w:hint="eastAsia" w:ascii="宋体" w:hAnsi="宋体" w:eastAsia="宋体" w:cs="宋体"/>
                <w:color w:val="3C3C3C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3C3C3C"/>
                <w:sz w:val="24"/>
                <w:lang w:val="en-US" w:eastAsia="zh-CN"/>
              </w:rPr>
              <w:t>王一染，樊妍汐，张梓豪，刘东源</w:t>
            </w:r>
          </w:p>
        </w:tc>
      </w:tr>
      <w:tr w14:paraId="2B5EA5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38" w:hRule="atLeast"/>
        </w:trPr>
        <w:tc>
          <w:tcPr>
            <w:tcW w:w="1583" w:type="dxa"/>
            <w:vAlign w:val="center"/>
          </w:tcPr>
          <w:p w14:paraId="06876E34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  <w:lang w:bidi="ar"/>
              </w:rPr>
              <w:t>学生情况分析</w:t>
            </w:r>
          </w:p>
        </w:tc>
        <w:tc>
          <w:tcPr>
            <w:tcW w:w="7584" w:type="dxa"/>
            <w:vAlign w:val="center"/>
          </w:tcPr>
          <w:p w14:paraId="3AC7987D">
            <w:pPr>
              <w:pStyle w:val="2"/>
              <w:widowControl/>
              <w:shd w:val="clear" w:color="auto" w:fill="FFFFFF"/>
              <w:spacing w:beforeAutospacing="0" w:after="2" w:afterAutospacing="0" w:line="480" w:lineRule="atLeast"/>
              <w:ind w:firstLine="450"/>
              <w:jc w:val="both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1. 自身专注度不足：课堂上易受外界干扰，注意力持续时间短，难以跟上教学节奏，导致知识吸收碎片化，基础薄弱点不断累积。</w:t>
            </w:r>
          </w:p>
          <w:p w14:paraId="51117617">
            <w:pPr>
              <w:pStyle w:val="2"/>
              <w:widowControl/>
              <w:shd w:val="clear" w:color="auto" w:fill="FFFFFF"/>
              <w:spacing w:beforeAutospacing="0" w:after="2" w:afterAutospacing="0" w:line="480" w:lineRule="atLeast"/>
              <w:ind w:firstLine="450"/>
              <w:jc w:val="both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2. 学习内驱力弱：对英语学科缺乏兴趣和成就感，常因多次受挫产生畏难情绪，被动完成任务，缺乏主动探索的意愿。</w:t>
            </w:r>
          </w:p>
          <w:p w14:paraId="75BC8A44">
            <w:pPr>
              <w:pStyle w:val="2"/>
              <w:widowControl/>
              <w:shd w:val="clear" w:color="auto" w:fill="FFFFFF"/>
              <w:spacing w:beforeAutospacing="0" w:after="2" w:afterAutospacing="0" w:line="480" w:lineRule="atLeast"/>
              <w:ind w:firstLine="450"/>
              <w:jc w:val="both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3. 家庭教育支持不足：部分家长对孩子学习关注度不够，或教育方式简单粗暴，缺乏有效陪伴与正向引导，家校协同力度弱。</w:t>
            </w:r>
          </w:p>
          <w:p w14:paraId="149B7831">
            <w:pPr>
              <w:pStyle w:val="2"/>
              <w:widowControl/>
              <w:shd w:val="clear" w:color="auto" w:fill="FFFFFF"/>
              <w:spacing w:beforeAutospacing="0" w:after="2" w:afterAutospacing="0" w:line="480" w:lineRule="atLeast"/>
              <w:ind w:firstLine="450"/>
              <w:jc w:val="both"/>
              <w:rPr>
                <w:rFonts w:hint="eastAsia" w:ascii="宋体" w:hAnsi="宋体" w:eastAsia="宋体" w:cs="宋体"/>
                <w:color w:val="00000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4. 学习方法与习惯缺失：未养成课前预习、课后复习的习惯，缺乏科学的记忆方法和错题整理意识，导致学习效率低下，进步缓慢。</w:t>
            </w:r>
          </w:p>
        </w:tc>
      </w:tr>
      <w:tr w14:paraId="3F2E0B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15" w:hRule="atLeast"/>
        </w:trPr>
        <w:tc>
          <w:tcPr>
            <w:tcW w:w="1583" w:type="dxa"/>
            <w:vAlign w:val="center"/>
          </w:tcPr>
          <w:p w14:paraId="7C7EFC2B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  <w:lang w:bidi="ar"/>
              </w:rPr>
              <w:t>改进提高的具体</w:t>
            </w:r>
          </w:p>
          <w:p w14:paraId="68F5691A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  <w:lang w:bidi="ar"/>
              </w:rPr>
              <w:t>措施</w:t>
            </w:r>
          </w:p>
        </w:tc>
        <w:tc>
          <w:tcPr>
            <w:tcW w:w="7584" w:type="dxa"/>
          </w:tcPr>
          <w:p w14:paraId="26DA91B7">
            <w:pPr>
              <w:pStyle w:val="2"/>
              <w:widowControl/>
              <w:shd w:val="clear" w:color="auto" w:fill="FFFFFF"/>
              <w:spacing w:beforeAutospacing="0" w:after="2" w:afterAutospacing="0" w:line="480" w:lineRule="atLeast"/>
              <w:ind w:firstLine="450"/>
              <w:jc w:val="both"/>
              <w:rPr>
                <w:rFonts w:hint="eastAsia" w:ascii="宋体" w:hAnsi="宋体" w:eastAsia="宋体" w:cs="宋体"/>
                <w:color w:val="3C3C3C"/>
                <w:kern w:val="2"/>
              </w:rPr>
            </w:pPr>
          </w:p>
          <w:p w14:paraId="3EF1709F">
            <w:pPr>
              <w:pStyle w:val="2"/>
              <w:widowControl/>
              <w:shd w:val="clear" w:color="auto" w:fill="FFFFFF"/>
              <w:spacing w:beforeAutospacing="0" w:after="2" w:afterAutospacing="0" w:line="480" w:lineRule="atLeast"/>
              <w:ind w:firstLine="450"/>
              <w:jc w:val="both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1"/>
              </w:rPr>
              <w:t>1. 分层目标拆解：将大目标拆解为“能读准5个单词”“听懂1段对话”等可达成的小目标，每完成一个及时正向强化，逐步建立学习信心。</w:t>
            </w:r>
          </w:p>
          <w:p w14:paraId="068D2647">
            <w:pPr>
              <w:pStyle w:val="2"/>
              <w:widowControl/>
              <w:shd w:val="clear" w:color="auto" w:fill="FFFFFF"/>
              <w:spacing w:beforeAutospacing="0" w:after="2" w:afterAutospacing="0" w:line="480" w:lineRule="atLeast"/>
              <w:ind w:firstLine="450"/>
              <w:jc w:val="both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1"/>
              </w:rPr>
              <w:t>2. 个性化课堂支持：调整座位至前排便于关注，设计低门槛互动任务（如跟读、指认图片），让后进生在课堂中获得更多成功体验。</w:t>
            </w:r>
          </w:p>
          <w:p w14:paraId="40A978EF">
            <w:pPr>
              <w:pStyle w:val="2"/>
              <w:widowControl/>
              <w:shd w:val="clear" w:color="auto" w:fill="FFFFFF"/>
              <w:spacing w:beforeAutospacing="0" w:after="2" w:afterAutospacing="0" w:line="480" w:lineRule="atLeast"/>
              <w:ind w:firstLine="450"/>
              <w:jc w:val="both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1"/>
              </w:rPr>
              <w:t>3. 家校协同共育：定期与家长沟通，明确家庭辅导重点（如每日10分钟听读），提供可操作的家庭指导方法，形成教育合力。</w:t>
            </w:r>
          </w:p>
          <w:p w14:paraId="4C5A74B5">
            <w:pPr>
              <w:pStyle w:val="2"/>
              <w:widowControl/>
              <w:shd w:val="clear" w:color="auto" w:fill="FFFFFF"/>
              <w:spacing w:beforeAutospacing="0" w:after="2" w:afterAutospacing="0" w:line="480" w:lineRule="atLeast"/>
              <w:ind w:firstLine="450"/>
              <w:jc w:val="both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1"/>
              </w:rPr>
              <w:t>4. 学习习惯重构：从“课前预习单”“课后错题本”入手，手把手教授学习方法，逐步培养自主学习意识和良好习惯。</w:t>
            </w:r>
          </w:p>
          <w:p w14:paraId="7C57F58B">
            <w:pPr>
              <w:pStyle w:val="2"/>
              <w:widowControl/>
              <w:shd w:val="clear" w:color="auto" w:fill="FFFFFF"/>
              <w:spacing w:beforeAutospacing="0" w:after="2" w:afterAutospacing="0" w:line="480" w:lineRule="atLeast"/>
              <w:ind w:firstLine="450"/>
              <w:jc w:val="both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1"/>
              </w:rPr>
              <w:t>5. 同伴互助帮扶：安排优生与后进生结对，开展“一对一”带读、互助检查等活动，在轻松的同伴关系中降低学习焦虑，提升参与感。</w:t>
            </w:r>
          </w:p>
          <w:p w14:paraId="54844C42">
            <w:pPr>
              <w:pStyle w:val="2"/>
              <w:widowControl/>
              <w:shd w:val="clear" w:color="auto" w:fill="FFFFFF"/>
              <w:spacing w:beforeAutospacing="0" w:after="2" w:afterAutospacing="0" w:line="480" w:lineRule="atLeast"/>
              <w:ind w:firstLine="450"/>
              <w:jc w:val="both"/>
              <w:rPr>
                <w:rFonts w:hint="eastAsia" w:ascii="宋体" w:hAnsi="宋体" w:eastAsia="宋体" w:cs="宋体"/>
                <w:color w:val="000000"/>
                <w:kern w:val="2"/>
                <w:sz w:val="32"/>
              </w:rPr>
            </w:pPr>
          </w:p>
          <w:p w14:paraId="47D6F069">
            <w:pPr>
              <w:pStyle w:val="2"/>
              <w:widowControl/>
              <w:shd w:val="clear" w:color="auto" w:fill="FFFFFF"/>
              <w:spacing w:beforeAutospacing="0" w:after="2" w:afterAutospacing="0" w:line="480" w:lineRule="atLeast"/>
              <w:jc w:val="both"/>
              <w:rPr>
                <w:rFonts w:hint="eastAsia" w:ascii="宋体" w:hAnsi="宋体" w:eastAsia="宋体" w:cs="宋体"/>
                <w:color w:val="000000"/>
                <w:kern w:val="2"/>
                <w:sz w:val="32"/>
              </w:rPr>
            </w:pPr>
          </w:p>
          <w:p w14:paraId="34B92E32">
            <w:pPr>
              <w:pStyle w:val="2"/>
              <w:widowControl/>
              <w:shd w:val="clear" w:color="auto" w:fill="FFFFFF"/>
              <w:spacing w:beforeAutospacing="0" w:after="2" w:afterAutospacing="0" w:line="480" w:lineRule="atLeast"/>
              <w:jc w:val="both"/>
              <w:rPr>
                <w:rFonts w:hint="eastAsia" w:ascii="宋体" w:hAnsi="宋体" w:eastAsia="宋体" w:cs="宋体"/>
                <w:color w:val="000000"/>
                <w:sz w:val="32"/>
                <w:szCs w:val="32"/>
              </w:rPr>
            </w:pPr>
          </w:p>
        </w:tc>
      </w:tr>
    </w:tbl>
    <w:p w14:paraId="6471B2D1">
      <w:pPr>
        <w:spacing w:line="360" w:lineRule="auto"/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</w:pPr>
    </w:p>
    <w:p w14:paraId="2F2F5B75">
      <w:pPr>
        <w:jc w:val="center"/>
        <w:rPr>
          <w:rFonts w:hint="eastAsia" w:ascii="宋体" w:hAnsi="宋体" w:eastAsia="宋体" w:cs="宋体"/>
          <w:b/>
          <w:bCs/>
          <w:color w:val="000000"/>
          <w:kern w:val="0"/>
          <w:sz w:val="44"/>
          <w:szCs w:val="44"/>
          <w:lang w:bidi="ar"/>
        </w:rPr>
      </w:pPr>
    </w:p>
    <w:p w14:paraId="484E4B90">
      <w:pPr>
        <w:jc w:val="center"/>
        <w:rPr>
          <w:rFonts w:hint="eastAsia" w:ascii="宋体" w:hAnsi="宋体" w:eastAsia="宋体" w:cs="宋体"/>
          <w:b/>
          <w:bCs/>
          <w:color w:val="000000"/>
          <w:kern w:val="0"/>
          <w:sz w:val="44"/>
          <w:szCs w:val="44"/>
          <w:lang w:bidi="ar"/>
        </w:rPr>
      </w:pPr>
    </w:p>
    <w:p w14:paraId="449DC095">
      <w:pPr>
        <w:jc w:val="center"/>
        <w:rPr>
          <w:rFonts w:hint="eastAsia" w:ascii="宋体" w:hAnsi="宋体" w:eastAsia="宋体" w:cs="宋体"/>
          <w:b/>
          <w:bCs/>
          <w:color w:val="000000"/>
          <w:kern w:val="0"/>
          <w:sz w:val="44"/>
          <w:szCs w:val="44"/>
          <w:lang w:bidi="ar"/>
        </w:rPr>
      </w:pPr>
    </w:p>
    <w:p w14:paraId="29938628">
      <w:pPr>
        <w:jc w:val="center"/>
        <w:rPr>
          <w:rFonts w:hint="eastAsia" w:ascii="宋体" w:hAnsi="宋体" w:eastAsia="宋体" w:cs="宋体"/>
          <w:b/>
          <w:bCs/>
          <w:color w:val="000000"/>
          <w:kern w:val="0"/>
          <w:sz w:val="44"/>
          <w:szCs w:val="44"/>
          <w:lang w:bidi="ar"/>
        </w:rPr>
      </w:pPr>
    </w:p>
    <w:p w14:paraId="317E09BC">
      <w:pPr>
        <w:jc w:val="center"/>
        <w:rPr>
          <w:rFonts w:hint="eastAsia" w:ascii="宋体" w:hAnsi="宋体" w:eastAsia="宋体" w:cs="宋体"/>
          <w:b/>
          <w:bCs/>
          <w:color w:val="000000"/>
          <w:kern w:val="0"/>
          <w:sz w:val="44"/>
          <w:szCs w:val="44"/>
          <w:lang w:bidi="ar"/>
        </w:rPr>
      </w:pPr>
    </w:p>
    <w:p w14:paraId="351FAAFE">
      <w:pPr>
        <w:jc w:val="center"/>
        <w:rPr>
          <w:rFonts w:hint="eastAsia" w:ascii="宋体" w:hAnsi="宋体" w:eastAsia="宋体" w:cs="宋体"/>
          <w:b/>
          <w:bCs/>
          <w:color w:val="000000"/>
          <w:kern w:val="0"/>
          <w:sz w:val="44"/>
          <w:szCs w:val="44"/>
          <w:lang w:bidi="ar"/>
        </w:rPr>
      </w:pPr>
    </w:p>
    <w:p w14:paraId="355DB591">
      <w:pPr>
        <w:jc w:val="center"/>
        <w:rPr>
          <w:rFonts w:hint="eastAsia" w:ascii="宋体" w:hAnsi="宋体" w:eastAsia="宋体" w:cs="宋体"/>
          <w:b/>
          <w:bCs/>
          <w:color w:val="000000"/>
          <w:kern w:val="0"/>
          <w:sz w:val="44"/>
          <w:szCs w:val="44"/>
          <w:lang w:bidi="ar"/>
        </w:rPr>
      </w:pPr>
    </w:p>
    <w:p w14:paraId="36C9266B">
      <w:pPr>
        <w:jc w:val="center"/>
        <w:rPr>
          <w:rFonts w:hint="eastAsia" w:ascii="宋体" w:hAnsi="宋体" w:eastAsia="宋体" w:cs="宋体"/>
          <w:b/>
          <w:bCs/>
          <w:color w:val="000000"/>
          <w:kern w:val="0"/>
          <w:sz w:val="44"/>
          <w:szCs w:val="44"/>
          <w:lang w:bidi="ar"/>
        </w:rPr>
      </w:pPr>
    </w:p>
    <w:p w14:paraId="099898A1">
      <w:pPr>
        <w:jc w:val="center"/>
        <w:rPr>
          <w:rFonts w:hint="eastAsia" w:ascii="宋体" w:hAnsi="宋体" w:eastAsia="宋体" w:cs="宋体"/>
          <w:b/>
          <w:bCs/>
          <w:color w:val="000000"/>
          <w:kern w:val="0"/>
          <w:sz w:val="44"/>
          <w:szCs w:val="44"/>
          <w:lang w:bidi="ar"/>
        </w:rPr>
      </w:pPr>
    </w:p>
    <w:p w14:paraId="1E712EF5">
      <w:pPr>
        <w:jc w:val="center"/>
        <w:rPr>
          <w:rFonts w:hint="eastAsia" w:ascii="宋体" w:hAnsi="宋体" w:eastAsia="宋体" w:cs="宋体"/>
          <w:b/>
          <w:bCs/>
          <w:color w:val="000000"/>
          <w:kern w:val="0"/>
          <w:sz w:val="44"/>
          <w:szCs w:val="44"/>
          <w:lang w:bidi="ar"/>
        </w:rPr>
      </w:pPr>
      <w:r>
        <w:rPr>
          <w:rFonts w:hint="eastAsia" w:ascii="宋体" w:hAnsi="宋体" w:eastAsia="宋体" w:cs="宋体"/>
          <w:b/>
          <w:bCs/>
          <w:color w:val="000000"/>
          <w:kern w:val="0"/>
          <w:sz w:val="44"/>
          <w:szCs w:val="44"/>
          <w:lang w:bidi="ar"/>
        </w:rPr>
        <w:t>棠外附小辅导学生计划表（</w:t>
      </w:r>
      <w:r>
        <w:rPr>
          <w:rFonts w:hint="eastAsia" w:ascii="宋体" w:hAnsi="宋体" w:eastAsia="宋体" w:cs="宋体"/>
          <w:b/>
          <w:bCs/>
          <w:color w:val="000000"/>
          <w:kern w:val="0"/>
          <w:sz w:val="44"/>
          <w:szCs w:val="44"/>
          <w:u w:val="single"/>
          <w:lang w:bidi="ar"/>
        </w:rPr>
        <w:t xml:space="preserve"> 培优 </w:t>
      </w:r>
      <w:r>
        <w:rPr>
          <w:rFonts w:hint="eastAsia" w:ascii="宋体" w:hAnsi="宋体" w:eastAsia="宋体" w:cs="宋体"/>
          <w:b/>
          <w:bCs/>
          <w:color w:val="000000"/>
          <w:kern w:val="0"/>
          <w:sz w:val="44"/>
          <w:szCs w:val="44"/>
          <w:lang w:bidi="ar"/>
        </w:rPr>
        <w:t>）</w:t>
      </w:r>
    </w:p>
    <w:p w14:paraId="192FD36F">
      <w:pPr>
        <w:widowControl/>
        <w:textAlignment w:val="center"/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</w:pP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  <w:t>202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val="en-US" w:eastAsia="zh-CN" w:bidi="ar"/>
        </w:rPr>
        <w:t>6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  <w:t>-202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val="en-US" w:eastAsia="zh-CN" w:bidi="ar"/>
        </w:rPr>
        <w:t>7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  <w:t>学年度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val="en-US" w:eastAsia="zh-CN" w:bidi="ar"/>
        </w:rPr>
        <w:t>上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  <w:t>期     班级：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val="en-US" w:eastAsia="zh-CN" w:bidi="ar"/>
        </w:rPr>
        <w:t>3.2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  <w:t xml:space="preserve">       教师：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val="en-US" w:eastAsia="zh-CN" w:bidi="ar"/>
        </w:rPr>
        <w:t>谢明洙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  <w:t xml:space="preserve"> </w:t>
      </w:r>
    </w:p>
    <w:tbl>
      <w:tblPr>
        <w:tblStyle w:val="4"/>
        <w:tblW w:w="9050" w:type="dxa"/>
        <w:tblInd w:w="-14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83"/>
        <w:gridCol w:w="7467"/>
      </w:tblGrid>
      <w:tr w14:paraId="2EBA9F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0" w:hRule="atLeast"/>
        </w:trPr>
        <w:tc>
          <w:tcPr>
            <w:tcW w:w="1583" w:type="dxa"/>
            <w:vAlign w:val="center"/>
          </w:tcPr>
          <w:p w14:paraId="772F059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  <w:lang w:bidi="ar"/>
              </w:rPr>
              <w:t>学生名单</w:t>
            </w:r>
          </w:p>
        </w:tc>
        <w:tc>
          <w:tcPr>
            <w:tcW w:w="7467" w:type="dxa"/>
            <w:vAlign w:val="center"/>
          </w:tcPr>
          <w:p w14:paraId="6B8C1945">
            <w:pPr>
              <w:spacing w:line="360" w:lineRule="auto"/>
              <w:jc w:val="left"/>
              <w:rPr>
                <w:rFonts w:hint="eastAsia" w:ascii="宋体" w:hAnsi="宋体" w:eastAsia="宋体" w:cs="宋体"/>
                <w:color w:val="3C3C3C"/>
                <w:sz w:val="24"/>
              </w:rPr>
            </w:pPr>
            <w:r>
              <w:rPr>
                <w:rFonts w:hint="eastAsia" w:ascii="宋体" w:hAnsi="宋体" w:eastAsia="宋体" w:cs="宋体"/>
                <w:color w:val="3C3C3C"/>
                <w:sz w:val="24"/>
              </w:rPr>
              <w:t>白言辰、倪若涵、高语彤、夏若溪、吴悦溪、罗星瞳、黄硕妈、陈沐研、王梦昕、徐若于、袁艺赫、唐近悦、王翊宸、李信佑、李泽言、何芊悦、陈楷宁、梁家鸣</w:t>
            </w:r>
          </w:p>
        </w:tc>
      </w:tr>
      <w:tr w14:paraId="01D2E8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80" w:hRule="atLeast"/>
        </w:trPr>
        <w:tc>
          <w:tcPr>
            <w:tcW w:w="1583" w:type="dxa"/>
            <w:vAlign w:val="center"/>
          </w:tcPr>
          <w:p w14:paraId="37C370C9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  <w:lang w:bidi="ar"/>
              </w:rPr>
              <w:t>学生情况分析</w:t>
            </w:r>
          </w:p>
        </w:tc>
        <w:tc>
          <w:tcPr>
            <w:tcW w:w="7467" w:type="dxa"/>
          </w:tcPr>
          <w:p w14:paraId="691AC12E">
            <w:pPr>
              <w:spacing w:line="360" w:lineRule="auto"/>
              <w:rPr>
                <w:rFonts w:hint="eastAsia" w:ascii="宋体" w:hAnsi="宋体" w:eastAsia="宋体" w:cs="宋体"/>
                <w:color w:val="3C3C3C"/>
                <w:sz w:val="24"/>
              </w:rPr>
            </w:pPr>
            <w:r>
              <w:rPr>
                <w:rFonts w:hint="eastAsia" w:ascii="宋体" w:hAnsi="宋体" w:eastAsia="宋体" w:cs="宋体"/>
                <w:color w:val="3C3C3C"/>
                <w:sz w:val="24"/>
              </w:rPr>
              <w:t xml:space="preserve"> 1. 听课习惯好：课堂专注度高，能主动跟随教师思路，及时记录重点，对知识的吸收效率突出，极少出现走神、插话等情况。</w:t>
            </w:r>
          </w:p>
          <w:p w14:paraId="707D9B48">
            <w:pPr>
              <w:spacing w:line="360" w:lineRule="auto"/>
              <w:rPr>
                <w:rFonts w:hint="eastAsia" w:ascii="宋体" w:hAnsi="宋体" w:eastAsia="宋体" w:cs="宋体"/>
                <w:color w:val="3C3C3C"/>
                <w:sz w:val="24"/>
              </w:rPr>
            </w:pPr>
            <w:r>
              <w:rPr>
                <w:rFonts w:hint="eastAsia" w:ascii="宋体" w:hAnsi="宋体" w:eastAsia="宋体" w:cs="宋体"/>
                <w:color w:val="3C3C3C"/>
                <w:sz w:val="24"/>
              </w:rPr>
              <w:t>2. 学习兴趣高：对英语学科有较强的内在驱动力，主动拓展课外内容（如英文读物、影视），乐于参与课堂互动与小组探究。</w:t>
            </w:r>
          </w:p>
          <w:p w14:paraId="1D92653C">
            <w:pPr>
              <w:spacing w:line="360" w:lineRule="auto"/>
              <w:rPr>
                <w:rFonts w:hint="eastAsia" w:ascii="宋体" w:hAnsi="宋体" w:eastAsia="宋体" w:cs="宋体"/>
                <w:color w:val="3C3C3C"/>
                <w:sz w:val="24"/>
              </w:rPr>
            </w:pPr>
            <w:r>
              <w:rPr>
                <w:rFonts w:hint="eastAsia" w:ascii="宋体" w:hAnsi="宋体" w:eastAsia="宋体" w:cs="宋体"/>
                <w:color w:val="3C3C3C"/>
                <w:sz w:val="24"/>
              </w:rPr>
              <w:t>3. 家长关注：家庭教育支持到位，家长能有效监督学习进度，配合学校要求，形成家校协同的良好氛围。</w:t>
            </w:r>
          </w:p>
          <w:p w14:paraId="4520EAC5">
            <w:pPr>
              <w:spacing w:line="360" w:lineRule="auto"/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3C3C3C"/>
                <w:sz w:val="24"/>
              </w:rPr>
              <w:t xml:space="preserve"> </w:t>
            </w:r>
          </w:p>
        </w:tc>
      </w:tr>
      <w:tr w14:paraId="412405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2" w:hRule="atLeast"/>
        </w:trPr>
        <w:tc>
          <w:tcPr>
            <w:tcW w:w="1583" w:type="dxa"/>
            <w:vAlign w:val="center"/>
          </w:tcPr>
          <w:p w14:paraId="4852C65A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  <w:lang w:bidi="ar"/>
              </w:rPr>
              <w:t>改进提高的具体措施</w:t>
            </w:r>
          </w:p>
        </w:tc>
        <w:tc>
          <w:tcPr>
            <w:tcW w:w="7467" w:type="dxa"/>
          </w:tcPr>
          <w:p w14:paraId="7EBE70A9">
            <w:pPr>
              <w:tabs>
                <w:tab w:val="left" w:pos="312"/>
              </w:tabs>
              <w:spacing w:line="360" w:lineRule="auto"/>
              <w:rPr>
                <w:rFonts w:hint="eastAsia" w:ascii="宋体" w:hAnsi="宋体" w:eastAsia="宋体" w:cs="宋体"/>
                <w:color w:val="3C3C3C"/>
                <w:sz w:val="24"/>
              </w:rPr>
            </w:pPr>
          </w:p>
          <w:p w14:paraId="7C6143E2">
            <w:pPr>
              <w:tabs>
                <w:tab w:val="left" w:pos="312"/>
              </w:tabs>
              <w:spacing w:line="360" w:lineRule="auto"/>
              <w:rPr>
                <w:rFonts w:hint="eastAsia" w:ascii="宋体" w:hAnsi="宋体" w:eastAsia="宋体" w:cs="宋体"/>
                <w:color w:val="3C3C3C"/>
                <w:sz w:val="24"/>
              </w:rPr>
            </w:pPr>
            <w:r>
              <w:rPr>
                <w:rFonts w:hint="eastAsia" w:ascii="宋体" w:hAnsi="宋体" w:eastAsia="宋体" w:cs="宋体"/>
                <w:color w:val="3C3C3C"/>
                <w:sz w:val="24"/>
              </w:rPr>
              <w:t>1. 分层任务驱动：在完成基础任务后，提供拓展性挑战（如英文演讲、项目式学习），避免“吃不饱”，保持学习挑战性。</w:t>
            </w:r>
          </w:p>
          <w:p w14:paraId="180E8691">
            <w:pPr>
              <w:tabs>
                <w:tab w:val="left" w:pos="312"/>
              </w:tabs>
              <w:spacing w:line="360" w:lineRule="auto"/>
              <w:rPr>
                <w:rFonts w:hint="eastAsia" w:ascii="宋体" w:hAnsi="宋体" w:eastAsia="宋体" w:cs="宋体"/>
                <w:color w:val="3C3C3C"/>
                <w:sz w:val="24"/>
              </w:rPr>
            </w:pPr>
            <w:r>
              <w:rPr>
                <w:rFonts w:hint="eastAsia" w:ascii="宋体" w:hAnsi="宋体" w:eastAsia="宋体" w:cs="宋体"/>
                <w:color w:val="3C3C3C"/>
                <w:sz w:val="24"/>
              </w:rPr>
              <w:t>2. 角色赋能成长：安排担任“英语小助教”，协助老师带读、批改同伴作业或组织小组活动，在输出中深化理解，同时培养责任感。</w:t>
            </w:r>
          </w:p>
          <w:p w14:paraId="084B6BC9">
            <w:pPr>
              <w:tabs>
                <w:tab w:val="left" w:pos="312"/>
              </w:tabs>
              <w:spacing w:line="360" w:lineRule="auto"/>
              <w:rPr>
                <w:rFonts w:hint="eastAsia" w:ascii="宋体" w:hAnsi="宋体" w:eastAsia="宋体" w:cs="宋体"/>
                <w:color w:val="3C3C3C"/>
                <w:sz w:val="24"/>
              </w:rPr>
            </w:pPr>
            <w:r>
              <w:rPr>
                <w:rFonts w:hint="eastAsia" w:ascii="宋体" w:hAnsi="宋体" w:eastAsia="宋体" w:cs="宋体"/>
                <w:color w:val="3C3C3C"/>
                <w:sz w:val="24"/>
              </w:rPr>
              <w:t>3. 个性化目标设定：与学生共同制定学期目标（如词汇量突破、口语流利度提升），定期复盘，引导从“被动完成”转向“主动规划”。</w:t>
            </w:r>
          </w:p>
          <w:p w14:paraId="241F5746">
            <w:pPr>
              <w:tabs>
                <w:tab w:val="left" w:pos="312"/>
              </w:tabs>
              <w:spacing w:line="360" w:lineRule="auto"/>
              <w:rPr>
                <w:rFonts w:hint="eastAsia" w:ascii="宋体" w:hAnsi="宋体" w:eastAsia="宋体" w:cs="宋体"/>
                <w:color w:val="3C3C3C"/>
                <w:sz w:val="24"/>
              </w:rPr>
            </w:pPr>
            <w:r>
              <w:rPr>
                <w:rFonts w:hint="eastAsia" w:ascii="宋体" w:hAnsi="宋体" w:eastAsia="宋体" w:cs="宋体"/>
                <w:color w:val="3C3C3C"/>
                <w:sz w:val="24"/>
              </w:rPr>
              <w:t>4. 跨学科融合拓展：鼓励将英语与其他学科结合</w:t>
            </w:r>
          </w:p>
          <w:p w14:paraId="3CE4100B">
            <w:pPr>
              <w:tabs>
                <w:tab w:val="left" w:pos="312"/>
              </w:tabs>
              <w:spacing w:line="360" w:lineRule="auto"/>
              <w:rPr>
                <w:rFonts w:hint="eastAsia" w:ascii="宋体" w:hAnsi="宋体" w:eastAsia="宋体" w:cs="宋体"/>
                <w:color w:val="3C3C3C"/>
                <w:sz w:val="24"/>
              </w:rPr>
            </w:pPr>
          </w:p>
          <w:p w14:paraId="0D40FCD8">
            <w:pPr>
              <w:tabs>
                <w:tab w:val="left" w:pos="312"/>
              </w:tabs>
              <w:spacing w:line="360" w:lineRule="auto"/>
              <w:rPr>
                <w:rFonts w:hint="eastAsia" w:ascii="宋体" w:hAnsi="宋体" w:eastAsia="宋体" w:cs="宋体"/>
                <w:color w:val="3C3C3C"/>
                <w:sz w:val="24"/>
              </w:rPr>
            </w:pPr>
          </w:p>
          <w:p w14:paraId="661199AD">
            <w:pPr>
              <w:tabs>
                <w:tab w:val="left" w:pos="312"/>
              </w:tabs>
              <w:spacing w:line="360" w:lineRule="auto"/>
              <w:rPr>
                <w:rFonts w:hint="eastAsia" w:ascii="宋体" w:hAnsi="宋体" w:eastAsia="宋体" w:cs="宋体"/>
                <w:color w:val="3C3C3C"/>
                <w:sz w:val="24"/>
              </w:rPr>
            </w:pPr>
          </w:p>
          <w:p w14:paraId="63259A1F">
            <w:pPr>
              <w:tabs>
                <w:tab w:val="left" w:pos="312"/>
              </w:tabs>
              <w:spacing w:line="360" w:lineRule="auto"/>
              <w:rPr>
                <w:rFonts w:hint="eastAsia" w:ascii="宋体" w:hAnsi="宋体" w:eastAsia="宋体" w:cs="宋体"/>
                <w:color w:val="3C3C3C"/>
                <w:sz w:val="24"/>
              </w:rPr>
            </w:pPr>
          </w:p>
          <w:p w14:paraId="7C5170E3">
            <w:pPr>
              <w:tabs>
                <w:tab w:val="left" w:pos="312"/>
              </w:tabs>
              <w:spacing w:line="360" w:lineRule="auto"/>
              <w:rPr>
                <w:rFonts w:hint="eastAsia" w:ascii="宋体" w:hAnsi="宋体" w:eastAsia="宋体" w:cs="宋体"/>
                <w:color w:val="3C3C3C"/>
                <w:sz w:val="24"/>
              </w:rPr>
            </w:pPr>
          </w:p>
          <w:p w14:paraId="73579DD6">
            <w:pPr>
              <w:tabs>
                <w:tab w:val="left" w:pos="312"/>
              </w:tabs>
              <w:spacing w:line="360" w:lineRule="auto"/>
              <w:rPr>
                <w:rFonts w:hint="eastAsia" w:ascii="宋体" w:hAnsi="宋体" w:eastAsia="宋体" w:cs="宋体"/>
                <w:color w:val="3C3C3C"/>
                <w:sz w:val="24"/>
              </w:rPr>
            </w:pPr>
          </w:p>
          <w:p w14:paraId="538A333D">
            <w:pPr>
              <w:tabs>
                <w:tab w:val="left" w:pos="312"/>
              </w:tabs>
              <w:spacing w:line="360" w:lineRule="auto"/>
              <w:rPr>
                <w:rFonts w:hint="eastAsia" w:ascii="宋体" w:hAnsi="宋体" w:eastAsia="宋体" w:cs="宋体"/>
                <w:color w:val="3C3C3C"/>
                <w:sz w:val="24"/>
              </w:rPr>
            </w:pPr>
          </w:p>
          <w:p w14:paraId="378CDFFA">
            <w:pPr>
              <w:tabs>
                <w:tab w:val="left" w:pos="312"/>
              </w:tabs>
              <w:spacing w:line="360" w:lineRule="auto"/>
              <w:rPr>
                <w:rFonts w:hint="eastAsia" w:ascii="宋体" w:hAnsi="宋体" w:eastAsia="宋体" w:cs="宋体"/>
                <w:color w:val="3C3C3C"/>
                <w:sz w:val="24"/>
              </w:rPr>
            </w:pPr>
          </w:p>
          <w:p w14:paraId="60C583C0">
            <w:pPr>
              <w:tabs>
                <w:tab w:val="left" w:pos="312"/>
              </w:tabs>
              <w:spacing w:line="360" w:lineRule="auto"/>
              <w:rPr>
                <w:rFonts w:hint="eastAsia" w:ascii="宋体" w:hAnsi="宋体" w:eastAsia="宋体" w:cs="宋体"/>
                <w:color w:val="3C3C3C"/>
                <w:sz w:val="24"/>
              </w:rPr>
            </w:pPr>
          </w:p>
          <w:p w14:paraId="3B5C5E80">
            <w:pPr>
              <w:tabs>
                <w:tab w:val="left" w:pos="312"/>
              </w:tabs>
              <w:spacing w:line="360" w:lineRule="auto"/>
              <w:rPr>
                <w:rFonts w:hint="eastAsia" w:ascii="宋体" w:hAnsi="宋体" w:eastAsia="宋体" w:cs="宋体"/>
                <w:color w:val="3C3C3C"/>
                <w:sz w:val="24"/>
              </w:rPr>
            </w:pPr>
          </w:p>
          <w:p w14:paraId="2289EF70">
            <w:pPr>
              <w:tabs>
                <w:tab w:val="left" w:pos="312"/>
              </w:tabs>
              <w:spacing w:line="360" w:lineRule="auto"/>
              <w:rPr>
                <w:rFonts w:hint="eastAsia" w:ascii="宋体" w:hAnsi="宋体" w:eastAsia="宋体" w:cs="宋体"/>
                <w:color w:val="3C3C3C"/>
                <w:sz w:val="24"/>
              </w:rPr>
            </w:pPr>
          </w:p>
          <w:p w14:paraId="03C58477">
            <w:pPr>
              <w:tabs>
                <w:tab w:val="left" w:pos="312"/>
              </w:tabs>
              <w:spacing w:line="360" w:lineRule="auto"/>
              <w:rPr>
                <w:rFonts w:hint="eastAsia" w:ascii="宋体" w:hAnsi="宋体" w:eastAsia="宋体" w:cs="宋体"/>
                <w:color w:val="3C3C3C"/>
                <w:sz w:val="24"/>
              </w:rPr>
            </w:pPr>
          </w:p>
          <w:p w14:paraId="545E9007">
            <w:pPr>
              <w:tabs>
                <w:tab w:val="left" w:pos="312"/>
              </w:tabs>
              <w:spacing w:line="360" w:lineRule="auto"/>
              <w:rPr>
                <w:rFonts w:hint="eastAsia" w:ascii="宋体" w:hAnsi="宋体" w:eastAsia="宋体" w:cs="宋体"/>
                <w:color w:val="3C3C3C"/>
                <w:sz w:val="24"/>
              </w:rPr>
            </w:pPr>
          </w:p>
          <w:p w14:paraId="19095D04">
            <w:pPr>
              <w:tabs>
                <w:tab w:val="left" w:pos="312"/>
              </w:tabs>
              <w:spacing w:line="360" w:lineRule="auto"/>
              <w:rPr>
                <w:rFonts w:hint="eastAsia" w:ascii="宋体" w:hAnsi="宋体" w:eastAsia="宋体" w:cs="宋体"/>
                <w:color w:val="3C3C3C"/>
                <w:sz w:val="24"/>
              </w:rPr>
            </w:pPr>
          </w:p>
          <w:p w14:paraId="4E2D46BE">
            <w:pPr>
              <w:tabs>
                <w:tab w:val="left" w:pos="312"/>
              </w:tabs>
              <w:spacing w:line="360" w:lineRule="auto"/>
              <w:rPr>
                <w:rFonts w:hint="eastAsia" w:ascii="宋体" w:hAnsi="宋体" w:eastAsia="宋体" w:cs="宋体"/>
                <w:color w:val="3C3C3C"/>
                <w:sz w:val="24"/>
              </w:rPr>
            </w:pPr>
          </w:p>
          <w:p w14:paraId="03E859C0">
            <w:pPr>
              <w:tabs>
                <w:tab w:val="left" w:pos="312"/>
              </w:tabs>
              <w:spacing w:line="360" w:lineRule="auto"/>
              <w:rPr>
                <w:rFonts w:hint="eastAsia" w:ascii="宋体" w:hAnsi="宋体" w:eastAsia="宋体" w:cs="宋体"/>
                <w:color w:val="3C3C3C"/>
                <w:sz w:val="24"/>
              </w:rPr>
            </w:pPr>
          </w:p>
        </w:tc>
      </w:tr>
    </w:tbl>
    <w:p w14:paraId="79FE2593">
      <w:pPr>
        <w:spacing w:line="360" w:lineRule="auto"/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</w:pPr>
    </w:p>
    <w:p w14:paraId="4872CD72">
      <w:pPr>
        <w:jc w:val="center"/>
        <w:rPr>
          <w:rFonts w:hint="eastAsia" w:ascii="宋体" w:hAnsi="宋体" w:eastAsia="宋体" w:cs="宋体"/>
          <w:b/>
          <w:bCs/>
          <w:color w:val="000000"/>
          <w:kern w:val="0"/>
          <w:sz w:val="44"/>
          <w:szCs w:val="44"/>
          <w:lang w:bidi="ar"/>
        </w:rPr>
      </w:pPr>
      <w:r>
        <w:rPr>
          <w:rFonts w:hint="eastAsia" w:ascii="宋体" w:hAnsi="宋体" w:eastAsia="宋体" w:cs="宋体"/>
          <w:b/>
          <w:bCs/>
          <w:color w:val="000000"/>
          <w:kern w:val="0"/>
          <w:sz w:val="44"/>
          <w:szCs w:val="44"/>
          <w:lang w:bidi="ar"/>
        </w:rPr>
        <w:t>棠外附小辅导学生计划表（</w:t>
      </w:r>
      <w:r>
        <w:rPr>
          <w:rFonts w:hint="eastAsia" w:ascii="宋体" w:hAnsi="宋体" w:eastAsia="宋体" w:cs="宋体"/>
          <w:b/>
          <w:bCs/>
          <w:color w:val="000000"/>
          <w:kern w:val="0"/>
          <w:sz w:val="44"/>
          <w:szCs w:val="44"/>
          <w:u w:val="single"/>
          <w:lang w:bidi="ar"/>
        </w:rPr>
        <w:t xml:space="preserve"> 辅差 </w:t>
      </w:r>
      <w:r>
        <w:rPr>
          <w:rFonts w:hint="eastAsia" w:ascii="宋体" w:hAnsi="宋体" w:eastAsia="宋体" w:cs="宋体"/>
          <w:b/>
          <w:bCs/>
          <w:color w:val="000000"/>
          <w:kern w:val="0"/>
          <w:sz w:val="44"/>
          <w:szCs w:val="44"/>
          <w:lang w:bidi="ar"/>
        </w:rPr>
        <w:t>）</w:t>
      </w:r>
    </w:p>
    <w:p w14:paraId="4D412C8E">
      <w:pPr>
        <w:widowControl/>
        <w:textAlignment w:val="center"/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</w:pP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  <w:t>202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val="en-US" w:eastAsia="zh-CN" w:bidi="ar"/>
        </w:rPr>
        <w:t>6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  <w:t>-202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val="en-US" w:eastAsia="zh-CN" w:bidi="ar"/>
        </w:rPr>
        <w:t>7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  <w:t>学年度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val="en-US" w:eastAsia="zh-CN" w:bidi="ar"/>
        </w:rPr>
        <w:t>上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  <w:t>期   班级：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val="en-US" w:eastAsia="zh-CN" w:bidi="ar"/>
        </w:rPr>
        <w:t>3.2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  <w:t xml:space="preserve"> 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val="en-US" w:eastAsia="zh-CN" w:bidi="ar"/>
        </w:rPr>
        <w:t>3.3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  <w:t xml:space="preserve">   教师：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val="en-US" w:eastAsia="zh-CN" w:bidi="ar"/>
        </w:rPr>
        <w:t>谢明洙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  <w:t xml:space="preserve">  </w:t>
      </w:r>
    </w:p>
    <w:tbl>
      <w:tblPr>
        <w:tblStyle w:val="4"/>
        <w:tblW w:w="9167" w:type="dxa"/>
        <w:tblInd w:w="-14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83"/>
        <w:gridCol w:w="7584"/>
      </w:tblGrid>
      <w:tr w14:paraId="44FF36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43" w:hRule="atLeast"/>
        </w:trPr>
        <w:tc>
          <w:tcPr>
            <w:tcW w:w="1583" w:type="dxa"/>
            <w:vAlign w:val="center"/>
          </w:tcPr>
          <w:p w14:paraId="58B2F1A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  <w:lang w:bidi="ar"/>
              </w:rPr>
              <w:t>学生名单</w:t>
            </w:r>
          </w:p>
        </w:tc>
        <w:tc>
          <w:tcPr>
            <w:tcW w:w="7584" w:type="dxa"/>
            <w:vAlign w:val="center"/>
          </w:tcPr>
          <w:p w14:paraId="013E7047">
            <w:pPr>
              <w:spacing w:line="360" w:lineRule="auto"/>
              <w:jc w:val="left"/>
              <w:rPr>
                <w:rFonts w:hint="default" w:ascii="宋体" w:hAnsi="宋体" w:eastAsia="宋体" w:cs="宋体"/>
                <w:color w:val="3C3C3C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3C3C3C"/>
                <w:sz w:val="28"/>
                <w:szCs w:val="28"/>
              </w:rPr>
              <w:t>郭俊辰、张晨阳、张禾亿，曾沐冉，胡迪森、陈思源</w:t>
            </w:r>
            <w:r>
              <w:rPr>
                <w:rFonts w:hint="eastAsia" w:ascii="宋体" w:hAnsi="宋体" w:eastAsia="宋体" w:cs="宋体"/>
                <w:color w:val="3C3C3C"/>
                <w:sz w:val="28"/>
                <w:szCs w:val="28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color w:val="3C3C3C"/>
                <w:sz w:val="28"/>
                <w:szCs w:val="28"/>
                <w:lang w:val="en-US" w:eastAsia="zh-CN"/>
              </w:rPr>
              <w:t>刘子初，肖泽熙</w:t>
            </w:r>
          </w:p>
        </w:tc>
      </w:tr>
      <w:tr w14:paraId="5410C4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38" w:hRule="atLeast"/>
        </w:trPr>
        <w:tc>
          <w:tcPr>
            <w:tcW w:w="1583" w:type="dxa"/>
            <w:vAlign w:val="center"/>
          </w:tcPr>
          <w:p w14:paraId="6E50DC91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  <w:lang w:bidi="ar"/>
              </w:rPr>
              <w:t>学生情况分析</w:t>
            </w:r>
          </w:p>
        </w:tc>
        <w:tc>
          <w:tcPr>
            <w:tcW w:w="7584" w:type="dxa"/>
            <w:vAlign w:val="center"/>
          </w:tcPr>
          <w:p w14:paraId="4FFEE707">
            <w:pPr>
              <w:pStyle w:val="2"/>
              <w:widowControl/>
              <w:shd w:val="clear" w:color="auto" w:fill="FFFFFF"/>
              <w:spacing w:beforeAutospacing="0" w:after="2" w:afterAutospacing="0" w:line="480" w:lineRule="atLeast"/>
              <w:ind w:firstLine="450"/>
              <w:jc w:val="both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1. 自身专注度不足：课堂上易受外界干扰，注意力持续时间短，难以跟上教学节奏，导致知识吸收碎片化，基础薄弱点不断累积。</w:t>
            </w:r>
          </w:p>
          <w:p w14:paraId="01B7DEAB">
            <w:pPr>
              <w:pStyle w:val="2"/>
              <w:widowControl/>
              <w:shd w:val="clear" w:color="auto" w:fill="FFFFFF"/>
              <w:spacing w:beforeAutospacing="0" w:after="2" w:afterAutospacing="0" w:line="480" w:lineRule="atLeast"/>
              <w:ind w:firstLine="450"/>
              <w:jc w:val="both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2. 学习内驱力弱：对英语学科缺乏兴趣和成就感，常因多次受挫产生畏难情绪，被动完成任务，缺乏主动探索的意愿。</w:t>
            </w:r>
          </w:p>
          <w:p w14:paraId="0C7B0B93">
            <w:pPr>
              <w:pStyle w:val="2"/>
              <w:widowControl/>
              <w:shd w:val="clear" w:color="auto" w:fill="FFFFFF"/>
              <w:spacing w:beforeAutospacing="0" w:after="2" w:afterAutospacing="0" w:line="480" w:lineRule="atLeast"/>
              <w:ind w:firstLine="450"/>
              <w:jc w:val="both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3. 家庭教育支持不足：部分家长对孩子学习关注度不够，或教育方式简单粗暴，缺乏有效陪伴与正向引导，家校协同力度弱。</w:t>
            </w:r>
          </w:p>
          <w:p w14:paraId="4F03B462">
            <w:pPr>
              <w:pStyle w:val="2"/>
              <w:widowControl/>
              <w:shd w:val="clear" w:color="auto" w:fill="FFFFFF"/>
              <w:spacing w:beforeAutospacing="0" w:after="2" w:afterAutospacing="0" w:line="480" w:lineRule="atLeast"/>
              <w:ind w:firstLine="450"/>
              <w:jc w:val="both"/>
              <w:rPr>
                <w:rFonts w:hint="eastAsia" w:ascii="宋体" w:hAnsi="宋体" w:eastAsia="宋体" w:cs="宋体"/>
                <w:color w:val="00000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4. 学习方法与习惯缺失：未养成课前预习、课后复习的习惯，缺乏科学的记忆方法和错题整理意识，导致学习效率低下，进步缓慢。</w:t>
            </w:r>
          </w:p>
        </w:tc>
      </w:tr>
      <w:tr w14:paraId="3C9BC2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15" w:hRule="atLeast"/>
        </w:trPr>
        <w:tc>
          <w:tcPr>
            <w:tcW w:w="1583" w:type="dxa"/>
            <w:vAlign w:val="center"/>
          </w:tcPr>
          <w:p w14:paraId="131BD2C4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  <w:lang w:bidi="ar"/>
              </w:rPr>
              <w:t>改进提高的具体</w:t>
            </w:r>
          </w:p>
          <w:p w14:paraId="37EF43B9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  <w:lang w:bidi="ar"/>
              </w:rPr>
              <w:t>措施</w:t>
            </w:r>
          </w:p>
        </w:tc>
        <w:tc>
          <w:tcPr>
            <w:tcW w:w="7584" w:type="dxa"/>
          </w:tcPr>
          <w:p w14:paraId="1451FB18">
            <w:pPr>
              <w:pStyle w:val="2"/>
              <w:widowControl/>
              <w:shd w:val="clear" w:color="auto" w:fill="FFFFFF"/>
              <w:spacing w:beforeAutospacing="0" w:after="2" w:afterAutospacing="0" w:line="480" w:lineRule="atLeast"/>
              <w:ind w:firstLine="450"/>
              <w:jc w:val="both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1"/>
              </w:rPr>
              <w:t>1. 分层目标拆解：将大目标拆解为“能读准5个单词”“听懂1段对话”等可达成的小目标，每完成一个及时正向强化，逐步建立学习信心。</w:t>
            </w:r>
          </w:p>
          <w:p w14:paraId="5340BC86">
            <w:pPr>
              <w:pStyle w:val="2"/>
              <w:widowControl/>
              <w:shd w:val="clear" w:color="auto" w:fill="FFFFFF"/>
              <w:spacing w:beforeAutospacing="0" w:after="2" w:afterAutospacing="0" w:line="480" w:lineRule="atLeast"/>
              <w:ind w:firstLine="450"/>
              <w:jc w:val="both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1"/>
              </w:rPr>
              <w:t>2. 个性化课堂支持：调整座位至前排便于关注，设计低门槛互动任务（如跟读、指认图片），让后进生在课堂中获得更多成功体验。</w:t>
            </w:r>
          </w:p>
          <w:p w14:paraId="100ED844">
            <w:pPr>
              <w:pStyle w:val="2"/>
              <w:widowControl/>
              <w:shd w:val="clear" w:color="auto" w:fill="FFFFFF"/>
              <w:spacing w:beforeAutospacing="0" w:after="2" w:afterAutospacing="0" w:line="480" w:lineRule="atLeast"/>
              <w:ind w:firstLine="450"/>
              <w:jc w:val="both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1"/>
              </w:rPr>
              <w:t>3. 家校协同共育：定期与家长沟通，明确家庭辅导重点（如每日10分钟听读），提供可操作的家庭指导方法，形成教育合力。</w:t>
            </w:r>
          </w:p>
          <w:p w14:paraId="2FD99E8C">
            <w:pPr>
              <w:pStyle w:val="2"/>
              <w:widowControl/>
              <w:shd w:val="clear" w:color="auto" w:fill="FFFFFF"/>
              <w:spacing w:beforeAutospacing="0" w:after="2" w:afterAutospacing="0" w:line="480" w:lineRule="atLeast"/>
              <w:ind w:firstLine="450"/>
              <w:jc w:val="both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1"/>
              </w:rPr>
              <w:t>4. 学习习惯重构：从“课前预习单”“课后错题本”入手，手把手教授学习方法，逐步培养自主学习意识和良好习惯。</w:t>
            </w:r>
          </w:p>
          <w:p w14:paraId="5A764AF2">
            <w:pPr>
              <w:pStyle w:val="2"/>
              <w:widowControl/>
              <w:shd w:val="clear" w:color="auto" w:fill="FFFFFF"/>
              <w:spacing w:beforeAutospacing="0" w:after="2" w:afterAutospacing="0" w:line="480" w:lineRule="atLeast"/>
              <w:ind w:firstLine="450"/>
              <w:jc w:val="both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1"/>
              </w:rPr>
              <w:t>5. 同伴互助帮扶：安排优生与后进生结对，开展“一对一”带读、互助检查等活动，在轻松的同伴关系中降低学习焦虑，提升参与感。</w:t>
            </w:r>
          </w:p>
          <w:p w14:paraId="5BC6D12F">
            <w:pPr>
              <w:pStyle w:val="2"/>
              <w:widowControl/>
              <w:shd w:val="clear" w:color="auto" w:fill="FFFFFF"/>
              <w:spacing w:beforeAutospacing="0" w:after="2" w:afterAutospacing="0" w:line="480" w:lineRule="atLeast"/>
              <w:ind w:firstLine="450"/>
              <w:jc w:val="both"/>
              <w:rPr>
                <w:rFonts w:hint="eastAsia" w:ascii="宋体" w:hAnsi="宋体" w:eastAsia="宋体" w:cs="宋体"/>
                <w:color w:val="3C3C3C"/>
                <w:kern w:val="2"/>
              </w:rPr>
            </w:pPr>
          </w:p>
          <w:p w14:paraId="4266BFF5">
            <w:pPr>
              <w:pStyle w:val="2"/>
              <w:widowControl/>
              <w:shd w:val="clear" w:color="auto" w:fill="FFFFFF"/>
              <w:spacing w:beforeAutospacing="0" w:after="2" w:afterAutospacing="0" w:line="480" w:lineRule="atLeast"/>
              <w:ind w:firstLine="450"/>
              <w:jc w:val="both"/>
              <w:rPr>
                <w:rFonts w:hint="eastAsia" w:ascii="宋体" w:hAnsi="宋体" w:eastAsia="宋体" w:cs="宋体"/>
                <w:color w:val="000000"/>
                <w:kern w:val="2"/>
                <w:sz w:val="32"/>
              </w:rPr>
            </w:pPr>
          </w:p>
          <w:p w14:paraId="002B901B">
            <w:pPr>
              <w:pStyle w:val="2"/>
              <w:widowControl/>
              <w:shd w:val="clear" w:color="auto" w:fill="FFFFFF"/>
              <w:spacing w:beforeAutospacing="0" w:after="2" w:afterAutospacing="0" w:line="480" w:lineRule="atLeast"/>
              <w:ind w:firstLine="450"/>
              <w:jc w:val="both"/>
              <w:rPr>
                <w:rFonts w:hint="eastAsia" w:ascii="宋体" w:hAnsi="宋体" w:eastAsia="宋体" w:cs="宋体"/>
                <w:color w:val="000000"/>
                <w:kern w:val="2"/>
                <w:sz w:val="32"/>
              </w:rPr>
            </w:pPr>
          </w:p>
          <w:p w14:paraId="3DEDFC2A">
            <w:pPr>
              <w:pStyle w:val="2"/>
              <w:widowControl/>
              <w:shd w:val="clear" w:color="auto" w:fill="FFFFFF"/>
              <w:spacing w:beforeAutospacing="0" w:after="2" w:afterAutospacing="0" w:line="480" w:lineRule="atLeast"/>
              <w:ind w:firstLine="450"/>
              <w:jc w:val="both"/>
              <w:rPr>
                <w:rFonts w:hint="eastAsia" w:ascii="宋体" w:hAnsi="宋体" w:eastAsia="宋体" w:cs="宋体"/>
                <w:color w:val="000000"/>
                <w:kern w:val="2"/>
                <w:sz w:val="32"/>
              </w:rPr>
            </w:pPr>
          </w:p>
          <w:p w14:paraId="61621F20">
            <w:pPr>
              <w:pStyle w:val="2"/>
              <w:widowControl/>
              <w:shd w:val="clear" w:color="auto" w:fill="FFFFFF"/>
              <w:spacing w:beforeAutospacing="0" w:after="2" w:afterAutospacing="0" w:line="480" w:lineRule="atLeast"/>
              <w:ind w:firstLine="450"/>
              <w:jc w:val="both"/>
              <w:rPr>
                <w:rFonts w:hint="eastAsia" w:ascii="宋体" w:hAnsi="宋体" w:eastAsia="宋体" w:cs="宋体"/>
                <w:color w:val="000000"/>
                <w:kern w:val="2"/>
                <w:sz w:val="32"/>
              </w:rPr>
            </w:pPr>
          </w:p>
          <w:p w14:paraId="2865D2A3">
            <w:pPr>
              <w:pStyle w:val="2"/>
              <w:widowControl/>
              <w:shd w:val="clear" w:color="auto" w:fill="FFFFFF"/>
              <w:spacing w:beforeAutospacing="0" w:after="2" w:afterAutospacing="0" w:line="480" w:lineRule="atLeast"/>
              <w:ind w:firstLine="450"/>
              <w:jc w:val="both"/>
              <w:rPr>
                <w:rFonts w:hint="eastAsia" w:ascii="宋体" w:hAnsi="宋体" w:eastAsia="宋体" w:cs="宋体"/>
                <w:color w:val="000000"/>
                <w:kern w:val="2"/>
                <w:sz w:val="32"/>
              </w:rPr>
            </w:pPr>
          </w:p>
          <w:p w14:paraId="44976C38">
            <w:pPr>
              <w:pStyle w:val="2"/>
              <w:widowControl/>
              <w:shd w:val="clear" w:color="auto" w:fill="FFFFFF"/>
              <w:spacing w:beforeAutospacing="0" w:after="2" w:afterAutospacing="0" w:line="480" w:lineRule="atLeast"/>
              <w:ind w:firstLine="450"/>
              <w:jc w:val="both"/>
              <w:rPr>
                <w:rFonts w:hint="eastAsia" w:ascii="宋体" w:hAnsi="宋体" w:eastAsia="宋体" w:cs="宋体"/>
                <w:color w:val="000000"/>
                <w:kern w:val="2"/>
                <w:sz w:val="32"/>
              </w:rPr>
            </w:pPr>
          </w:p>
          <w:p w14:paraId="2DB3031E">
            <w:pPr>
              <w:pStyle w:val="2"/>
              <w:widowControl/>
              <w:shd w:val="clear" w:color="auto" w:fill="FFFFFF"/>
              <w:spacing w:beforeAutospacing="0" w:after="2" w:afterAutospacing="0" w:line="480" w:lineRule="atLeast"/>
              <w:ind w:firstLine="450"/>
              <w:jc w:val="both"/>
              <w:rPr>
                <w:rFonts w:hint="eastAsia" w:ascii="宋体" w:hAnsi="宋体" w:eastAsia="宋体" w:cs="宋体"/>
                <w:color w:val="000000"/>
                <w:kern w:val="2"/>
                <w:sz w:val="32"/>
              </w:rPr>
            </w:pPr>
          </w:p>
          <w:p w14:paraId="2F59AD60">
            <w:pPr>
              <w:pStyle w:val="2"/>
              <w:widowControl/>
              <w:shd w:val="clear" w:color="auto" w:fill="FFFFFF"/>
              <w:spacing w:beforeAutospacing="0" w:after="2" w:afterAutospacing="0" w:line="480" w:lineRule="atLeast"/>
              <w:ind w:firstLine="450"/>
              <w:jc w:val="both"/>
              <w:rPr>
                <w:rFonts w:hint="eastAsia" w:ascii="宋体" w:hAnsi="宋体" w:eastAsia="宋体" w:cs="宋体"/>
                <w:color w:val="000000"/>
                <w:kern w:val="2"/>
                <w:sz w:val="32"/>
              </w:rPr>
            </w:pPr>
          </w:p>
          <w:p w14:paraId="0D7A0478">
            <w:pPr>
              <w:pStyle w:val="2"/>
              <w:widowControl/>
              <w:shd w:val="clear" w:color="auto" w:fill="FFFFFF"/>
              <w:spacing w:beforeAutospacing="0" w:after="2" w:afterAutospacing="0" w:line="480" w:lineRule="atLeast"/>
              <w:jc w:val="both"/>
              <w:rPr>
                <w:rFonts w:hint="eastAsia" w:ascii="宋体" w:hAnsi="宋体" w:eastAsia="宋体" w:cs="宋体"/>
                <w:color w:val="000000"/>
                <w:sz w:val="32"/>
                <w:szCs w:val="32"/>
              </w:rPr>
            </w:pPr>
          </w:p>
        </w:tc>
      </w:tr>
    </w:tbl>
    <w:p w14:paraId="29C14ED9">
      <w:pPr>
        <w:spacing w:line="360" w:lineRule="auto"/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2UxNmE2ZTc2ZTdkOTM3NjZlNmU5Njg4OTU3ZWUxNWYifQ=="/>
  </w:docVars>
  <w:rsids>
    <w:rsidRoot w:val="50862BB0"/>
    <w:rsid w:val="001A617C"/>
    <w:rsid w:val="00351305"/>
    <w:rsid w:val="00633EDE"/>
    <w:rsid w:val="009A2013"/>
    <w:rsid w:val="00AB4583"/>
    <w:rsid w:val="00B7154F"/>
    <w:rsid w:val="00C61E04"/>
    <w:rsid w:val="00C6410B"/>
    <w:rsid w:val="00CD2D67"/>
    <w:rsid w:val="00E625BF"/>
    <w:rsid w:val="052E656D"/>
    <w:rsid w:val="096F5AD2"/>
    <w:rsid w:val="125A200A"/>
    <w:rsid w:val="152F4368"/>
    <w:rsid w:val="1DD43CFE"/>
    <w:rsid w:val="20D44015"/>
    <w:rsid w:val="21AD0AEE"/>
    <w:rsid w:val="21F04116"/>
    <w:rsid w:val="24287F6D"/>
    <w:rsid w:val="245C67FB"/>
    <w:rsid w:val="2B6640B7"/>
    <w:rsid w:val="32A9293D"/>
    <w:rsid w:val="36F76322"/>
    <w:rsid w:val="3C1063F2"/>
    <w:rsid w:val="42672AE3"/>
    <w:rsid w:val="4A62250E"/>
    <w:rsid w:val="4E1E2F39"/>
    <w:rsid w:val="50862BB0"/>
    <w:rsid w:val="5114745F"/>
    <w:rsid w:val="531723BF"/>
    <w:rsid w:val="5B93792A"/>
    <w:rsid w:val="614E0C9F"/>
    <w:rsid w:val="63E20073"/>
    <w:rsid w:val="64AF3AF4"/>
    <w:rsid w:val="6AAF6EE8"/>
    <w:rsid w:val="6AC63F9C"/>
    <w:rsid w:val="6D051E56"/>
    <w:rsid w:val="70B412F0"/>
    <w:rsid w:val="75CE7D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6</Pages>
  <Words>2102</Words>
  <Characters>2176</Characters>
  <Lines>1</Lines>
  <Paragraphs>1</Paragraphs>
  <TotalTime>1</TotalTime>
  <ScaleCrop>false</ScaleCrop>
  <LinksUpToDate>false</LinksUpToDate>
  <CharactersWithSpaces>2267</CharactersWithSpaces>
  <Application>WPS Office_12.1.0.28505_F1E327BC-269C-435d-A152-05C5408002CA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2023-08-16T05:43:00Z</dcterms:created>
  <dc:creator>黎而</dc:creator>
  <cp:lastModifiedBy>索菲</cp:lastModifiedBy>
  <dcterms:modified xsi:type="dcterms:W3CDTF">2026-09-06T02:01:27Z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2052-12.1.0.28505</vt:lpwstr>
  </property>
  <property fmtid="{D5CDD505-2E9C-101B-9397-08002B2CF9AE}" pid="3" name="ICV">
    <vt:lpwstr>70BA81FA8B134DC0BAF3AB38D2974F69_13</vt:lpwstr>
  </property>
  <property fmtid="{D5CDD505-2E9C-101B-9397-08002B2CF9AE}" pid="4" name="KSOTemplateDocerSaveRecord">
    <vt:lpwstr>eyJoZGlkIjoiNzc1MDFlMzA0OWJhZjA4YjAxZmQ3M2VkZjYxYTk4N2IiLCJ1c2VySWQiOiIyNTkwNzU4NzEifQ==</vt:lpwstr>
  </property>
</Properties>
</file>